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83" w:rsidRPr="006C19AA" w:rsidRDefault="00DB2483" w:rsidP="006C19AA">
      <w:pPr>
        <w:pStyle w:val="IntenseQuote"/>
        <w:jc w:val="center"/>
        <w:rPr>
          <w:b w:val="0"/>
          <w:bCs w:val="0"/>
          <w:i w:val="0"/>
          <w:iCs w:val="0"/>
          <w:sz w:val="28"/>
          <w:szCs w:val="28"/>
          <w:lang w:val="tr-TR" w:eastAsia="tr-TR"/>
        </w:rPr>
      </w:pPr>
      <w:r w:rsidRPr="006C19AA">
        <w:rPr>
          <w:b w:val="0"/>
          <w:bCs w:val="0"/>
          <w:i w:val="0"/>
          <w:iCs w:val="0"/>
          <w:sz w:val="28"/>
          <w:szCs w:val="28"/>
          <w:lang w:val="tr-TR" w:eastAsia="tr-TR"/>
        </w:rPr>
        <w:t>RİSALE-İ NUR ESERLERİNİ ESAS ALMAK VE NAZARLARI ONA ÇEVİRMEK VE ONA TESLİMİYETLE KANAAT ETMEK ESASI</w:t>
      </w:r>
      <w:r w:rsidR="00752004" w:rsidRPr="006C19AA">
        <w:rPr>
          <w:b w:val="0"/>
          <w:bCs w:val="0"/>
          <w:i w:val="0"/>
          <w:iCs w:val="0"/>
          <w:sz w:val="28"/>
          <w:szCs w:val="28"/>
          <w:lang w:val="tr-TR" w:eastAsia="tr-TR"/>
        </w:rPr>
        <w:fldChar w:fldCharType="begin"/>
      </w:r>
      <w:r w:rsidRPr="006C19AA">
        <w:rPr>
          <w:b w:val="0"/>
          <w:bCs w:val="0"/>
          <w:i w:val="0"/>
          <w:iCs w:val="0"/>
          <w:sz w:val="28"/>
          <w:szCs w:val="28"/>
          <w:lang w:val="tr-TR" w:eastAsia="tr-TR"/>
        </w:rPr>
        <w:instrText xml:space="preserve"> TC  "26-R‹SALE-‹ NUR ESERLER‹N‹ ESAS ALMAK VE NAZARLARI ONA ÇEV‹RMEK VE ONA TESL‹M‹YETLE KANAAT ETMEK ESASI" \l 1 </w:instrText>
      </w:r>
      <w:r w:rsidR="00752004" w:rsidRPr="006C19AA">
        <w:rPr>
          <w:b w:val="0"/>
          <w:bCs w:val="0"/>
          <w:i w:val="0"/>
          <w:iCs w:val="0"/>
          <w:sz w:val="28"/>
          <w:szCs w:val="28"/>
          <w:lang w:val="tr-TR" w:eastAsia="tr-TR"/>
        </w:rPr>
        <w:fldChar w:fldCharType="end"/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«-Zâhirden hakikate geçmek iki suretledir:</w:t>
      </w:r>
    </w:p>
    <w:p w:rsidR="00D21534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sz w:val="24"/>
          <w:szCs w:val="24"/>
          <w:lang w:val="tr-TR" w:eastAsia="tr-TR"/>
        </w:rPr>
        <w:t>Biri: Tarikat berzahına girip, seyr ü sülûk ile kat-ı merâtib ederek ha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kikata geçmektir.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İkinci suret: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Doğrudan doğruya, tarikat ber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zahına uğ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ramadan, lûtf-u İlâhî ile hakikate geçmektir ki, Sahabeye ve Tâbiîne has ve yük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sek ve kısa tarik şudur. Demek, ha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kaik-i Kur’âniyeden tereşşuh eden nurlar ve o nur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</w: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"nurlar ve o nur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lara" </w:instrTex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tercümanlık eden Sözler, o hassaya mâlik ola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bi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lir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 ve mâliktirler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.» (Mektubat sh: 356)</w:t>
      </w:r>
    </w:p>
    <w:p w:rsidR="00D21534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«Madem Kur’ân-ı Hakîm mürşidimizdir, üsta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dı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mızdır, imamımız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dır, her bir âdabda rehberimizdir. O kendi kendini met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hediyor. Biz de onun der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sine itti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bâen, onun tefsirini methedeceğiz.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Hem madem yazılan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Sözler onun bir nevi tef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siri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dir. Ve o risaleler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deki hakaik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"risalelerdeki hakaik"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, Kur’ânın malıdır ve haki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katleri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dir.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Ve madem Kur’ân-ı Ha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kîm ekser sûrelerde, hususan elif lâm râ’larda, hâ mim’lerde kendi kendini kemâl-i haşmetle gösteriyor, kemâlâtını söylüyor, lâyık olduğu medhi kendi ken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dine ediyor. Elbette, Sözlerde in’ikas et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miş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"Sözlerde in’ikas et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miﬂ"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Kur’ân-ı Hakî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m’in lemeât-ı i’câziye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sinden ve o hizme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tin makbu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liyetine alâmet olan inâyât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noBreakHyphen/>
        <w:t>ı Rabbâniyenin izha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rına mükellefiz. Çünkü o üstadımız öyle eder ve öyle ders verir.» (Mektubat sh: 368)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«Sözler hakkında, tevazu suretinde demiyo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rum belki bir hakikati be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yan etmek için derim ki: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Sözlerdeki hakaik ve kemâlât</w: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"Sözlerdeki hakaik ve kemâlât" </w:instrTex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benim değil, Kur’ân’ındır ve Kur’ân’dan tereşşuh etmiştir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.» (Mektubat sh: 369)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Risale-i Nur eczaları, bütün mühim ha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kaik-i imaniye ve Kur’âniyeyi, hattâ en mu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an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nide karşı dahi parlak bir surette isbatı, çok kuvvetli bir işaret-i gaybiye ve bir inâyet-i İlâhiyedir.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Çünkü hakaik-i imaniye ve Kur’âniye içinde öyleleri var ki, en büyük bir dâhi te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lâkki edilen İbni Sina, fehminde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"‹bni Sina, fehminde"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aczini itiraf etmiş, “Akıl buna yol bula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maz” demiş. Onuncu Söz risalesi, o zâtın dehâsıyla yetişemediği hakaiki, avamlara da, çocuklara da bildi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ri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yor.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sz w:val="24"/>
          <w:szCs w:val="24"/>
          <w:lang w:val="tr-TR" w:eastAsia="tr-TR"/>
        </w:rPr>
        <w:t>Hem meselâ, sırr-ı kader ve cüz-i ihtiyarînin halli için, koca Sa’d-ı Taftazanî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"Sa’d-› Taftazanî"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gibi bir allâme, kırk-elli sahifede, meşhur Mukaddemât-ı İsnâ Aşer 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"Mukaddemât-› ‹snâ Aﬂer 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namıyla telvih nam kita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bında ancak hal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lettiği ve ancak havassa bildir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diği aynı me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sâili,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kadere dair olan Yirmi Altıncı Sözde, İkinci Mebhasın iki sahifesinde ta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ma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mıyla, hem herkese bildi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recek bir tarzda be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yanı, eser-i inâyet olmazsa nedir?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sz w:val="24"/>
          <w:szCs w:val="24"/>
          <w:lang w:val="tr-TR" w:eastAsia="tr-TR"/>
        </w:rPr>
        <w:t>Hem bütün ukulü hayrette bırakan ve hiçbir felse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fenin eliyle keşfedile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meyen ve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sırr-ı hilkat-i âlem ve tıl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sım-ı kâinat de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nilen ve Kur’ân-ı Azîmişşânın i’câzıyla keşfedilen o tıl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sım-ı müşkülküşâ ve o muammâ-yı hay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retnümâ, Yirmi Dördüncü Mektup ve Yirmi Doku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zuncu Sözün âhirindeki remizli nüktede ve Otuzuncu Sözün, tahavvülât-ı zerrâtın altı adet hikme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tinde keşfedilmiştir. 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Kâinattaki faaliyet-i hay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retnü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mânın tılsımını ve hilkat-i kâ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inatın ve âkıbetinin mu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ammâ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sını ve tahavvülât-ı zerrat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taki harekâtın sırr-ı hikmetini keşif ve be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yan etmişlerdir meydandadır, ba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kı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labilir.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sz w:val="24"/>
          <w:szCs w:val="24"/>
          <w:lang w:val="tr-TR" w:eastAsia="tr-TR"/>
        </w:rPr>
        <w:t>Hem sırr-ı ehadiyet ile şeriksiz vahdet-i rububi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yeti, hem niha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yetsiz kurbiyet-i İlâhiye ile nihayetsiz 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lastRenderedPageBreak/>
        <w:t>bu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’diye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ti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miz olan hayret-en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giz hakikat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leri, kemâl-i vu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zuhla On Altıncı Söz ve Otuz İkinci Söz beyan ettikleri gibi, kudret-i İlâhiyeye nisbeten zerrat ve seyyarat mü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savi olduğunu ve haşr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noBreakHyphen/>
        <w:t>i âzamda umum zîruhun ihyâsı, bir nef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sin ihyâsı ka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dar o kudrete kolay oldu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ğunu ve şirkin hilkat-i kâ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inatta müdahalesi imtinâ derecesinde akıldan uzak ol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duğunu ke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mâl-i vuzuhla gösteren Yirminci Mektubtaki </w:t>
      </w:r>
      <w:r w:rsidRPr="006C19AA">
        <w:rPr>
          <w:rFonts w:eastAsia="Times New Roman" w:cstheme="minorHAnsi"/>
          <w:i/>
          <w:sz w:val="24"/>
          <w:szCs w:val="24"/>
          <w:lang w:val="tr-TR" w:eastAsia="tr-TR"/>
        </w:rPr>
        <w:t>Ve Hüve alâ külli şey’in kadîr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kelimesi beyanında ve üç temsili hâvi onun zeyli, şu azîm sırr-ı vahdeti keşfetmiş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tir.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sz w:val="24"/>
          <w:szCs w:val="24"/>
          <w:lang w:val="tr-TR" w:eastAsia="tr-TR"/>
        </w:rPr>
        <w:t>Hem hakaik-i imaniye ve Kur’âniyede öyle bir ge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nişlik var ki, en bü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yük zekâ-yı beşerî ihata edemediği halde, benim gibi zihni müşevveş, va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zi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yeti perişan, mü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caat edilecek kitap yokken, sıkın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tılı ve sür’atle ya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zan bir adamda, o hakaikin ekseriyet-i mutlakası deka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ikiyle zu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huru, doğrudan doğruya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Kur’ân-ı Hakîmin i’câz-ı mâ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nevîsinin eseri ve inâyet-i Rabbâniyenin bir cilvesi ve kuvvetli bir işaret-i gaybiyedir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.»(Mektubat sh: 372)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«Zannederim ki, o enâniyet-i ilmiyeyi fazla ta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şı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yan zatlar da anladı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 ki,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neşrolunan Sözler, ha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kaik-i Kur’âniyenin birer anahtarı</w: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"Sözler, ha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kaik-i Kur’âniyenin birer anahtar›" </w:instrTex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ve o haka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iki inkâr etmeye çalışanların başlarına inen birer elmas kı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lıçtır. 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O ehl-i fazl u kemal ve kuvvetli enâ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niyet-i ilmiyeyi taşıyan zatlar bilsinler ki; bana de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ğil, Kur’ân-ı Hakîme talebe ve şakird oluyorlar ben de onla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rın bir ders arkadaşıyım. Haydi, farz-ı muhal ola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rak, ben üstadlık dâvâ etsem, ma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dem şimdi ehl-i imanın tabaka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tını,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avamdan havassa ka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dar, maruz kal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dıkları evham ve şübehattan kurtarmak çare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sini bul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duk; o ulema ya daha kolay bir çaresini bul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sun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 veyahut bu çareyi iltizam edip ders versin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ler, ta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raftar ol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sunlar.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» (Mektubat sh: 425)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«Bu dürûs-u Kur’âniyenin dairesi içinde olan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lar, allâme ve müçtehidler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"allâme ve müctehidler"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de olsalar, vazifeleri, ulûm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noBreakHyphen/>
        <w:t>u ima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niye cihetinde, yal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nız yazı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lan şu Sözlerin şerhleri ve izah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ları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"Sözlerin ﬂerhleri ve izah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lar›"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dır veya tanzimleridir. Çünkü,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çok emâ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re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lerle anlamı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şız ki, bu ulûm-u imaniye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deki fetvâ va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zifesiyle tavzif edil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mişiz.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Eğer biri, dairemiz içinde nefsin enâniyet-i ilmi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yeden aldığı bir hisle, şerh ve izah ha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ricinde birşey yazsa, soğuk bir mu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araza veya nâkıs bir tak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lidcilik hükmüne ge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çer. Çünkü,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çok delillerle ve emâ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relerle tahak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kuk etmiş ki, Risale-i Nur eczaları Kur’ân’ın tereşşuhâ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tıdır;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bizler, taksimü’l-a’mâl kaidesiyle, herbirimiz bir vazife de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ruhde edip o âb-ı hayat tereşşuhâtını muhtaç olanlara yetiştiriyo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ruz.» (Mektubat sh: 426)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«Tevfik-i İlâhî refiki olan adam, tarikat berza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hına girme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den zahir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den hakikate geçebilir. Evet,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Kur’ân’dan, hakikat-i tarikati, tarikatsiz feyiz suretiyle gördüm ve bir parça al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dım. Ve keza, maksud-u bizzat olan ilimlere ulûm-u âli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yeyi okumaksızın</w: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"ulûm-u âli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yeyi okumaks›z›n" </w:instrTex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îsal edici bir yol buldum.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sz w:val="24"/>
          <w:szCs w:val="24"/>
          <w:lang w:val="tr-TR" w:eastAsia="tr-TR"/>
        </w:rPr>
        <w:t>Serîüsseyir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"Serîüsseyir"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olan bu zamanın evlâdına, kısa ve se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lâ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met bir tar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îki ihsan et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mek rahmet-i hâkimenin şânın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dan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dır.» (Mesnevî Nuriye sh: 212)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«Resâili’n-Nur dahi gayet yüksek ve derin bir ilim olduğu halde, külfet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noBreakHyphen/>
        <w:t>i tahsile ve derse çalışmaya ve başka üstadlardan ta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al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lüm edilmeye ve müderrisînin ağzından iktibas olmaya muhtaç olmadan, herkes dere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ce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sine göre o ulûm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noBreakHyphen/>
        <w:t>u âliyeyi, meşakkat ate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şine lüzum kalmadan anla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yabilir, kendi kendine istifade eder, mu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hakkik bir âlim olabilir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"mu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hakkik bir âlim olabilir"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.» (Şualar sh: 690)</w:t>
      </w:r>
    </w:p>
    <w:p w:rsid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Bir sene bu risaleleri ve bu dersleri an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layarak ve kabul ede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</w: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"risaleleri ve bu dersleri an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layarak ve kabul ederek" </w:instrTex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okuyan, bu zamanın mühim, hakikatli bir âlimi olabilir.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» (Lem’alar sh: 167)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10-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Onüçüncü Âyet: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Sure-i Âl-i İmran'da</w:t>
      </w:r>
      <w:r w:rsidR="00D21534" w:rsidRPr="006C19AA">
        <w:rPr>
          <w:rFonts w:cstheme="minorHAnsi"/>
          <w:color w:val="FF0000"/>
          <w:sz w:val="28"/>
          <w:szCs w:val="28"/>
          <w:highlight w:val="white"/>
          <w:rtl/>
        </w:rPr>
        <w:t>وَمَا يَعْلَمُ تَاْوِيلَهُ اِلاَّ اللّٰهُ وَالرَّاسِخُونَ فِى الْعِلْمِ</w:t>
      </w:r>
      <w:r w:rsidRPr="006C19AA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6C19AA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2"/>
      </w:r>
      <w:r w:rsidRPr="006C19AA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</w:p>
    <w:p w:rsidR="00D21534" w:rsidRPr="006C19AA" w:rsidRDefault="00DB2483" w:rsidP="006C19AA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position w:val="6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Ondördüncü Âyet: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Sure-i Nisa'da </w:t>
      </w:r>
      <w:r w:rsidR="00D21534" w:rsidRPr="006C19AA">
        <w:rPr>
          <w:rFonts w:cstheme="minorHAnsi"/>
          <w:color w:val="FF0000"/>
          <w:sz w:val="28"/>
          <w:szCs w:val="28"/>
          <w:highlight w:val="white"/>
          <w:rtl/>
        </w:rPr>
        <w:t>لكِنِ الرَّاسِخُونَ فِى الْعِلْمِ مِنْهُمْ</w:t>
      </w:r>
      <w:r w:rsidRPr="006C19AA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6C19AA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3"/>
      </w:r>
      <w:r w:rsidRPr="006C19AA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</w:p>
    <w:p w:rsidR="00DB2483" w:rsidRPr="006C19AA" w:rsidRDefault="00DB2483" w:rsidP="006C19A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6C19AA">
        <w:rPr>
          <w:rFonts w:eastAsia="Times New Roman" w:cstheme="minorHAnsi"/>
          <w:sz w:val="24"/>
          <w:szCs w:val="24"/>
          <w:lang w:val="tr-TR" w:eastAsia="tr-TR"/>
        </w:rPr>
        <w:t>Bu iki âyet bu asra da hususî bakar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lar.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sz w:val="24"/>
          <w:szCs w:val="24"/>
          <w:lang w:val="tr-TR" w:eastAsia="tr-TR"/>
        </w:rPr>
        <w:t>Birincisinin meâli gösteriyor ki: Ehl-i dalâlet mü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teşabi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hat-ı Kur’âniyeyi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"mü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instrText>teﬂabi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hat-› Kur’âniyeyi"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yanlış tevilât ile tahrifine ve şüp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heleri çoğaltmasına çalıştığı bir zamanda ilimde rü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suhu bulunan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"ilimde rü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suhu bulunan"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bir taife o müteşabi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hat-ı Kur’âniyenin hakikî te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villerini beyan edip ve iman ederek o şübehatı izale eder. Bu küllî mânânın her asırda mâsadakları ve cüz’iyat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ları var. Harb-i umumî vasıta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sıyla, bin seneden beri Kur’ân aleyhinde te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râküm eden Avrupa itirazları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"Avrupa itirazlar›"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ve ev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hamları âlem-i İslâm içinde yol bulup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"âlem-i ‹slâm içinde yol bulup"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yayıldı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lar. O şü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behatın bir kısmı fennî şek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lini giydi, ortaya çıktı. Bu şü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behatı ve itirazları bu za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manda def eden, başta Risalei’n-Nur ve şakirdleri görün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düğünden, bu âyet bu asra da bak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tığından, Risalei’n-Nur ve şakirdlerine rem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zen bak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makla beraber, ulema-i müte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ahhirînin mezhebine göre</w:t>
      </w:r>
      <w:r w:rsidR="00D21534" w:rsidRPr="006C19AA">
        <w:rPr>
          <w:rFonts w:cstheme="minorHAnsi"/>
          <w:color w:val="FF0000"/>
          <w:sz w:val="28"/>
          <w:szCs w:val="28"/>
          <w:highlight w:val="white"/>
          <w:rtl/>
        </w:rPr>
        <w:t>اِلاَّ اللّٰهُ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da vak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fedilmez. O halde makam-ı cifrîsi aynen </w:t>
      </w:r>
      <w:r w:rsidRPr="006C19AA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6C19AA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4"/>
      </w:r>
      <w:r w:rsidRPr="006C19AA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D21534" w:rsidRPr="006C19AA">
        <w:rPr>
          <w:rFonts w:cstheme="minorHAnsi"/>
          <w:color w:val="FF0000"/>
          <w:sz w:val="28"/>
          <w:szCs w:val="28"/>
          <w:highlight w:val="white"/>
          <w:rtl/>
        </w:rPr>
        <w:t>اِنَّ اْلاِنْسَانَ لَيَطْغَى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nın ma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kamı gibi  1344  ederek </w:t>
      </w:r>
      <w:r w:rsidR="00D21534" w:rsidRPr="006C19AA">
        <w:rPr>
          <w:rFonts w:eastAsia="Times New Roman" w:cstheme="minorHAnsi"/>
          <w:b/>
          <w:sz w:val="24"/>
          <w:szCs w:val="24"/>
          <w:lang w:val="tr-TR" w:eastAsia="tr-TR"/>
        </w:rPr>
        <w:t>Resâili’n-Nur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ve şakirdlerinin mey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dan-ı mü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ca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hede-i mâ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neviye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"mey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dan-› mü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ca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hede-i mâ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neviye"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ye atıl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maları tarihine tam ta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mına te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va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fukla onları da bu âyetin harîm-i kudsîsinin içine alı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.» (Şualar sh: 701)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«Hem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Risalet-in Nur, sair ulemanın </w: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"Risaletü’n-Nur, sair uleman›n " </w:instrTex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eserleri gibi, yalnız aklın ayağı ve nazarıyla ders vermez ve ev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liya mi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silli yalnız kalbin ke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şif ve zevkiyle hareket etmi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yor. Belki akıl ve kalbin ittihad ve imtizacı ve ruh ve sair letâ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ifin teavünü ayağıyla hareket ederek evc-i âlâya uçar.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Taarruz eden felsefenin değil ayağı, belki gözü yetişme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diği yerlere çıkar, hakaik-i imaniyeyi kör gözüne de gös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terir.» (Kastamonu Lâhikası sh: 12)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«Eskiden kırk günden tut, tâ kırk seneye kadar bir seyr ü sülûk ile bazı hakaik-i imaniyeye ancak çıkı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labi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lirdi. Şimdi ise, Cenâb-ı Hakkın rahmetiyle,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kırk dakikada o hakaike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"k›rk dakikada o hakaike"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çıkıla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cak bir yol bulunsa, o yola karşı lâkayt kalmak elbette kâr-ı akıl değil. İşte, otuz üç adet Sözler, böyle Kur’ânî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"Sözler, böyle Kur’ânî"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bir yolu açtığını, dikkatle okuyanlar hük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mediyor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lar.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Madem hakikat budur.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Esrar-ı Kur’âniyeye ait yazı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lan Sözler, şu zamanın yaralarına</w: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"Sözler, ﬂu zaman›n yaralar›na" </w:instrTex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en mü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nasip bir ilâç, bir merhem ve zulümatın teha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cümatına maruz heyet-i İslâmiyeye en nâfi bir nur ve dalâlet vâ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dilerinde hayrete düşenler için en doğru bir rehber olduğu itikadın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dayım.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sz w:val="24"/>
          <w:szCs w:val="24"/>
          <w:lang w:val="tr-TR" w:eastAsia="tr-TR"/>
        </w:rPr>
        <w:t>Bilirsiniz ki, eğer dalâlet cehaletten gelse, izalesi ko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laydır. Fakat da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lâlet fenden ve ilimden gelse, izalesi müş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küldür. Eski za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manda ikinci kı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sım binde bir bulu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nuyordu. Bulunanlardan ancak binden biri irşadla yola gele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bilirdi. Çünkü, öyleler kendilerini beğe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niyorlar. Hem bilmiyorlar, hem ken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dilerini bilir zannediyorlar.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Cenâb-ı Hak şu za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manda, i’câz-ı Kur’ân’ın mâ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nevî le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meâtından olan ma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lûm Sözleri, şu dalâ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let zendekasına bir tiryak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"Sözleri, ﬂu dalâ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let z›nd›kas›na bir tiryak"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hâsiyetini vermiş ta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savvurundayım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.» (Mektubat sh: 23)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13-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«Size kat’iyen ve çok emarelerle ve kat’î kana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atimle beyan ediyo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rum ki, gelecek yakın bir zamanda, bu vatan, bu millet ve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bu memleket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teki hükûmet, âlem-i İslâma ve dünyaya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"hükûmet, âlem-i ‹slâma ve dünyaya"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karşı gayet şiddetle Risale-i Nur gibi eserlere muhtaç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 gibi eserlere muhtaç"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olacak mev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cudiyetini, haysiyetini, şere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fini,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mefahir-i ta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rihiye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sini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"mefahir-i ta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rihiye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sini"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onun ibrazıyla gösterecektir.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» (Emirdağ Lâhikası-I sh: 78)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«Risale-i Nur dairesinin yakınında bulunan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ehl-i ilim ve ehl-i tari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 ve sofî meşrep zatlar onun cereya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nına girmek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ve ilim ve tari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kattan gelen eski sermayele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riyle ona kuvvet vermek ve genişleme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sine çalışmak ve şakirdlerini teşvik etmek ve bir buz parçası olan enaniye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tini, tam bir havu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zu kazanmak için o dairedeki âb-ı hayat havuzuna atıp erit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mek gerektir ve elzemdir. Yoksa, Risale-i Nur’a karşı rakîbâne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"Risale-i Nur’a karﬂ› rakîbâne"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başka bir çığır açmakla hem o zarar eder, hem bu müstakim ve metin cadde-i Kur’âniyeye bil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meyerek zarar verir, zen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dekaya bir nevi yardım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"zen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dekaya bir nevi yard›m"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olur.» (Kas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tamonu Lâhikası sh: 122)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«Eğer enâniyetli ve hodfuruş ise, Risale-i Nur şakirdleri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nin meta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netlerini kırarlar,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nazarlarını Risale-i Nur’un hari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cine çekip</w: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Nur’un hari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cine çekip" </w:instrTex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dağıtır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lar. Şimdi çok dikkat ve metanet ve ihti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 lâzım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dır.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» (Kastamonu Lâhi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kası sh: 202)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16-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Üstad, muhtelif istidatta olan her zi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yaretçinin derece-i fehim ve idrakine göre ko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nuşur, nazarları Risale-i Nur’a ve hizmet-i ima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niyeye çevirir, Risale-i Nur hakikatleriyle imana hizmet</w: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 hakikatleriyle imana hizmet" </w:instrTex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in bu mille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te maddeten ve mâ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nen en büyük menfaatleri temin edeceğini dâvâ ve izah ederdi.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» (Tarihçe-i Hayat sh: 462)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17-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Üstad Bediüzzaman’ın a’zamî ihlas, a’zamî sa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dakat ve a’zamî fedakârlık mânâsını ihtiva eden, göste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ren ve işaret eden mes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leğini na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zara vermek</w: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"mesle¤ini nazara vermek" </w:instrText>
      </w:r>
      <w:r w:rsidR="00752004" w:rsidRPr="006C19AA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 lâzım gel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mektedir.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Tâ ki, hizmet-i Nuriyede bulu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nacak Kur’an Şâkirdleri kıyâmete kadar bu düsturlar müvacehesinde hareket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"düsturlar müvacehesinde hareket"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etsin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ler. Muvaffakiyetin ve rıza-yı İlahiye nâiliye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tin, ancak bu su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retle mümkün olacağına kat’i kanaat getir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sinler.» (Hizmet Rehberi sh: 6)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18-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«Çok dikkatle üzerinde durulması, tefekkür edilmesi ge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reken be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dihî bir hakikat vardır ki, o da şu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dur: Risalelerde, mektub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larda, lâhika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larda defalarca ya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zıldığı gibi mübarek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Üstadımıza  müracaat edenler ve ziya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rete gelen bütün ziyaretçiler hemen umumiyetle dâima gö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rüyor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lardı ki: Üstadımız on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 nazarlarını Risale-i Nur’a tevcih edi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yordu.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Acaba bunun sırr-ı hikmeti ne idi? Mütemadiyen ne için bu nok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tada tah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şidat yapı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yordu? 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sz w:val="24"/>
          <w:szCs w:val="24"/>
          <w:lang w:val="tr-TR" w:eastAsia="tr-TR"/>
        </w:rPr>
        <w:t>Evet bu muazzam bir hakikattır. Ve Hazret-i  Bediüzzaman’a kâfil bir mu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azzam hakikatın ifadesidir ki,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dersi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mizi hakaik-i Kur’aniye ve envar-ı imaniye  hazi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nesi olan Risale-i Nur’dan aldı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ğımız gibi, birbi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rimizle manevî münasebet, alâka, uhuvvet ve muhabbet düstur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mızı da hep o Risale-i Nurdan ders alacağız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Nurdan ders alaca¤›z"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 xml:space="preserve">. 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sz w:val="24"/>
          <w:szCs w:val="24"/>
          <w:lang w:val="tr-TR" w:eastAsia="tr-TR"/>
        </w:rPr>
        <w:t>Evet bu zamanda, bu dehşetli ve cihanşümûl hâ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dise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ler hen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gâmında Kur’an Şakirdleri cüz’i ve küllî, ferdî ve içtimaî bütün ders ve ikazlarını Risale-i Nurla tahsil ede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ceklerdir. Çünkü, Kur’an’ın bu asra bakan vechesini ve Resul-i Ekrem Aleyhissalatü Vesselam’ın bu zaman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daki vezaif-i diniye tavrını küllî bir mânâ ile şimdi, bu suretle Risale-i Nur’la görmüş, anlamış bu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lunuyoruz.» (Hizmet Rehberi sh: 7) </w:t>
      </w:r>
    </w:p>
    <w:p w:rsidR="00DB2483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19-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 xml:space="preserve"> «Risale-i Nur’daki hakaik</w: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C19A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instrText xml:space="preserve"> "Risele-i Nur’daki hakaik" </w:instrText>
      </w:r>
      <w:r w:rsidR="00752004" w:rsidRPr="006C19A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, nasılki doğrudan doğ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ruya feyz-i Kur’andan mülhem hakaik-i imaniyedir za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man ve zemine göre değişmez ebedî hakikatlardır. O kudsî hakaikın ders ve tâliminde, neşir ve ilânatında da hizmete taallûk eden irşad, ikaz, teşvik ve tergîbi ta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zam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mun eden şu ge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lecek meseleler de her halde değiş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mez dersler ve 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t>esasat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t>tır ki, Nur Talebe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leri hayatın ve hizmetin muhte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lif saha ve safhalarında onlar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dan isti</w:t>
      </w:r>
      <w:r w:rsidRPr="006C19AA">
        <w:rPr>
          <w:rFonts w:eastAsia="Times New Roman" w:cstheme="minorHAnsi"/>
          <w:sz w:val="24"/>
          <w:szCs w:val="24"/>
          <w:lang w:val="tr-TR" w:eastAsia="tr-TR"/>
        </w:rPr>
        <w:softHyphen/>
        <w:t>fade ederler, müşkilâtlarını  giderirler.» (Hizmet Rehberi sh: 9)</w:t>
      </w:r>
    </w:p>
    <w:p w:rsidR="00D87CCA" w:rsidRPr="006C19AA" w:rsidRDefault="00DB2483" w:rsidP="006C19AA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Daha bunlar gibi Risale-i Nurun ehemmiyetini ve hiz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 ha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yatında onu me’haz tutmak gerektiğini beyan eden ifadeler, sa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rihtir ve getirdiği hüküm esas teşkil eder.Nurcular bu esasa bağlılıkları nisbetinde sağlam, sü</w:t>
      </w:r>
      <w:r w:rsidRPr="006C19AA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rekli ve meşru ittifakı sağlarlar.</w:t>
      </w:r>
      <w:bookmarkStart w:id="0" w:name="_GoBack"/>
      <w:bookmarkEnd w:id="0"/>
    </w:p>
    <w:sectPr w:rsidR="00D87CCA" w:rsidRPr="006C19AA" w:rsidSect="0075200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29" w:rsidRDefault="00D92329" w:rsidP="00DB2483">
      <w:pPr>
        <w:spacing w:after="0" w:line="240" w:lineRule="auto"/>
      </w:pPr>
      <w:r>
        <w:separator/>
      </w:r>
    </w:p>
  </w:endnote>
  <w:endnote w:type="continuationSeparator" w:id="1">
    <w:p w:rsidR="00D92329" w:rsidRDefault="00D92329" w:rsidP="00D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29" w:rsidRDefault="00D92329" w:rsidP="00DB2483">
      <w:pPr>
        <w:spacing w:after="0" w:line="240" w:lineRule="auto"/>
      </w:pPr>
      <w:r>
        <w:separator/>
      </w:r>
    </w:p>
  </w:footnote>
  <w:footnote w:type="continuationSeparator" w:id="1">
    <w:p w:rsidR="00D92329" w:rsidRDefault="00D92329" w:rsidP="00DB2483">
      <w:pPr>
        <w:spacing w:after="0" w:line="240" w:lineRule="auto"/>
      </w:pPr>
      <w:r>
        <w:continuationSeparator/>
      </w:r>
    </w:p>
  </w:footnote>
  <w:footnote w:id="2">
    <w:p w:rsidR="00DB2483" w:rsidRPr="006C19AA" w:rsidRDefault="00DB2483" w:rsidP="006C19AA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6C19AA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6C19AA">
        <w:rPr>
          <w:rFonts w:asciiTheme="minorHAnsi" w:hAnsiTheme="minorHAnsi" w:cstheme="minorHAnsi"/>
          <w:sz w:val="24"/>
          <w:szCs w:val="24"/>
        </w:rPr>
        <w:t xml:space="preserve">  Âl-i İmrân Sûresi, 3:7.</w:t>
      </w:r>
    </w:p>
  </w:footnote>
  <w:footnote w:id="3">
    <w:p w:rsidR="00DB2483" w:rsidRPr="006C19AA" w:rsidRDefault="00DB2483" w:rsidP="006C19AA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6C19AA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6C19AA">
        <w:rPr>
          <w:rFonts w:asciiTheme="minorHAnsi" w:hAnsiTheme="minorHAnsi" w:cstheme="minorHAnsi"/>
          <w:sz w:val="24"/>
          <w:szCs w:val="24"/>
        </w:rPr>
        <w:t>Nisâ Sûresi, 4:162.</w:t>
      </w:r>
    </w:p>
  </w:footnote>
  <w:footnote w:id="4">
    <w:p w:rsidR="00DB2483" w:rsidRPr="006C19AA" w:rsidRDefault="00DB2483" w:rsidP="006C19AA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6C19AA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6C19AA">
        <w:rPr>
          <w:rFonts w:asciiTheme="minorHAnsi" w:hAnsiTheme="minorHAnsi" w:cstheme="minorHAnsi"/>
          <w:sz w:val="24"/>
          <w:szCs w:val="24"/>
        </w:rPr>
        <w:t>Alâk Sûresi, 96:6.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483"/>
    <w:rsid w:val="006C19AA"/>
    <w:rsid w:val="00752004"/>
    <w:rsid w:val="00B00D98"/>
    <w:rsid w:val="00D21534"/>
    <w:rsid w:val="00D87CCA"/>
    <w:rsid w:val="00D92329"/>
    <w:rsid w:val="00D94366"/>
    <w:rsid w:val="00DB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B2483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DB248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9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9A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B2483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DB248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2171</Words>
  <Characters>12378</Characters>
  <Application>Microsoft Office Word</Application>
  <DocSecurity>0</DocSecurity>
  <Lines>103</Lines>
  <Paragraphs>29</Paragraphs>
  <ScaleCrop>false</ScaleCrop>
  <Company>Toshiba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4</cp:revision>
  <dcterms:created xsi:type="dcterms:W3CDTF">2020-01-09T16:48:00Z</dcterms:created>
  <dcterms:modified xsi:type="dcterms:W3CDTF">2020-03-15T22:39:00Z</dcterms:modified>
</cp:coreProperties>
</file>